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4"/>
        <w:tblW w:w="9782" w:type="dxa"/>
        <w:tblLayout w:type="fixed"/>
        <w:tblLook w:val="01E0"/>
      </w:tblPr>
      <w:tblGrid>
        <w:gridCol w:w="1095"/>
        <w:gridCol w:w="3442"/>
        <w:gridCol w:w="5245"/>
      </w:tblGrid>
      <w:tr w:rsidR="00156017" w:rsidTr="000B13E4">
        <w:trPr>
          <w:trHeight w:val="1464"/>
        </w:trPr>
        <w:tc>
          <w:tcPr>
            <w:tcW w:w="4537" w:type="dxa"/>
            <w:gridSpan w:val="2"/>
          </w:tcPr>
          <w:p w:rsidR="00156017" w:rsidRPr="00567957" w:rsidRDefault="00156017" w:rsidP="00156017">
            <w:r>
              <w:rPr>
                <w:noProof/>
              </w:rPr>
              <w:drawing>
                <wp:inline distT="0" distB="0" distL="0" distR="0">
                  <wp:extent cx="2705100" cy="1181100"/>
                  <wp:effectExtent l="0" t="0" r="0" b="0"/>
                  <wp:docPr id="1" name="Рисунок 1" descr="Logo_BASE_MONO_ranhi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ASE_MONO_ranhi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222" t="12373" r="6342" b="12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156017" w:rsidRPr="00946D1A" w:rsidRDefault="00156017" w:rsidP="00156017">
            <w:pPr>
              <w:spacing w:before="40"/>
              <w:ind w:left="2018"/>
              <w:jc w:val="right"/>
            </w:pPr>
          </w:p>
        </w:tc>
      </w:tr>
      <w:tr w:rsidR="00156017" w:rsidTr="000B13E4">
        <w:trPr>
          <w:trHeight w:val="241"/>
        </w:trPr>
        <w:tc>
          <w:tcPr>
            <w:tcW w:w="4537" w:type="dxa"/>
            <w:gridSpan w:val="2"/>
          </w:tcPr>
          <w:p w:rsidR="00156017" w:rsidRPr="00567957" w:rsidRDefault="00156017" w:rsidP="00156017">
            <w:pPr>
              <w:jc w:val="center"/>
            </w:pPr>
          </w:p>
        </w:tc>
        <w:tc>
          <w:tcPr>
            <w:tcW w:w="5245" w:type="dxa"/>
          </w:tcPr>
          <w:p w:rsidR="00156017" w:rsidRDefault="00156017" w:rsidP="00156017">
            <w:pPr>
              <w:ind w:left="742"/>
            </w:pPr>
          </w:p>
        </w:tc>
      </w:tr>
      <w:tr w:rsidR="00156017" w:rsidTr="000B13E4">
        <w:trPr>
          <w:trHeight w:val="1298"/>
        </w:trPr>
        <w:tc>
          <w:tcPr>
            <w:tcW w:w="1095" w:type="dxa"/>
          </w:tcPr>
          <w:p w:rsidR="00156017" w:rsidRPr="00162E0A" w:rsidRDefault="00156017" w:rsidP="00156017">
            <w:pPr>
              <w:rPr>
                <w:rFonts w:ascii="Arial Narrow" w:hAnsi="Arial Narrow"/>
                <w:color w:val="C00000"/>
                <w:sz w:val="28"/>
                <w:szCs w:val="28"/>
              </w:rPr>
            </w:pPr>
          </w:p>
        </w:tc>
        <w:tc>
          <w:tcPr>
            <w:tcW w:w="3442" w:type="dxa"/>
          </w:tcPr>
          <w:p w:rsidR="00156017" w:rsidRPr="007F20DA" w:rsidRDefault="00156017" w:rsidP="00156017">
            <w:pPr>
              <w:jc w:val="center"/>
              <w:rPr>
                <w:i/>
              </w:rPr>
            </w:pPr>
            <w:r>
              <w:t xml:space="preserve">Юридический </w:t>
            </w:r>
            <w:r w:rsidRPr="007F20DA">
              <w:t xml:space="preserve">факультет </w:t>
            </w:r>
          </w:p>
          <w:p w:rsidR="00156017" w:rsidRPr="004844A8" w:rsidRDefault="00156017" w:rsidP="00156017">
            <w:pPr>
              <w:jc w:val="center"/>
              <w:rPr>
                <w:i/>
              </w:rPr>
            </w:pPr>
          </w:p>
          <w:p w:rsidR="00156017" w:rsidRPr="00302A04" w:rsidRDefault="00156017" w:rsidP="00FF7AB6">
            <w:pPr>
              <w:jc w:val="center"/>
              <w:rPr>
                <w:rFonts w:ascii="Arial Narrow" w:hAnsi="Arial Narrow"/>
                <w:color w:val="7F7F7F"/>
                <w:sz w:val="18"/>
                <w:szCs w:val="18"/>
              </w:rPr>
            </w:pPr>
          </w:p>
        </w:tc>
        <w:tc>
          <w:tcPr>
            <w:tcW w:w="5245" w:type="dxa"/>
          </w:tcPr>
          <w:p w:rsidR="00156017" w:rsidRDefault="00156017" w:rsidP="00156017">
            <w:pPr>
              <w:jc w:val="center"/>
            </w:pPr>
          </w:p>
        </w:tc>
      </w:tr>
    </w:tbl>
    <w:p w:rsidR="007C034C" w:rsidRDefault="007C034C" w:rsidP="007C034C">
      <w:pPr>
        <w:pStyle w:val="a3"/>
        <w:spacing w:line="360" w:lineRule="auto"/>
        <w:ind w:firstLine="561"/>
        <w:jc w:val="center"/>
        <w:rPr>
          <w:sz w:val="24"/>
        </w:rPr>
      </w:pPr>
    </w:p>
    <w:p w:rsidR="00011879" w:rsidRPr="00983F22" w:rsidRDefault="00011879" w:rsidP="00A665AA">
      <w:pPr>
        <w:pStyle w:val="ad"/>
        <w:tabs>
          <w:tab w:val="left" w:pos="426"/>
        </w:tabs>
        <w:ind w:left="142" w:firstLine="851"/>
        <w:jc w:val="both"/>
      </w:pPr>
      <w:r w:rsidRPr="00983F22">
        <w:t>Перечень тем выпускных квалиф</w:t>
      </w:r>
      <w:r w:rsidR="00A665AA" w:rsidRPr="00983F22">
        <w:t>икационных работ для обучающихся п</w:t>
      </w:r>
      <w:r w:rsidRPr="00983F22">
        <w:rPr>
          <w:bCs/>
        </w:rPr>
        <w:t>о специальност</w:t>
      </w:r>
      <w:r w:rsidR="00A665AA" w:rsidRPr="00983F22">
        <w:rPr>
          <w:bCs/>
        </w:rPr>
        <w:t>и</w:t>
      </w:r>
      <w:r w:rsidR="00FF7AB6">
        <w:rPr>
          <w:bCs/>
        </w:rPr>
        <w:t xml:space="preserve"> </w:t>
      </w:r>
      <w:r w:rsidR="00A665AA" w:rsidRPr="00983F22">
        <w:t>40.05.01 Правовое обеспечение национальной безопасности (заочная форма):</w:t>
      </w:r>
    </w:p>
    <w:p w:rsidR="00011879" w:rsidRPr="00983F22" w:rsidRDefault="00011879" w:rsidP="00011879">
      <w:pPr>
        <w:pStyle w:val="a9"/>
        <w:tabs>
          <w:tab w:val="left" w:pos="426"/>
        </w:tabs>
        <w:ind w:left="142" w:firstLine="567"/>
        <w:jc w:val="both"/>
        <w:rPr>
          <w:bCs/>
        </w:rPr>
      </w:pPr>
    </w:p>
    <w:p w:rsidR="0070342D" w:rsidRPr="00983F22" w:rsidRDefault="0070342D" w:rsidP="0070342D">
      <w:pPr>
        <w:pStyle w:val="ad"/>
        <w:tabs>
          <w:tab w:val="left" w:pos="426"/>
        </w:tabs>
        <w:ind w:left="720"/>
        <w:jc w:val="center"/>
        <w:rPr>
          <w:b/>
        </w:rPr>
      </w:pPr>
      <w:r w:rsidRPr="00983F22">
        <w:rPr>
          <w:b/>
        </w:rPr>
        <w:t>Образовательная программа Уголовно-правовая</w:t>
      </w:r>
    </w:p>
    <w:p w:rsidR="0070342D" w:rsidRPr="00983F22" w:rsidRDefault="0070342D" w:rsidP="00011879">
      <w:pPr>
        <w:pStyle w:val="a9"/>
        <w:tabs>
          <w:tab w:val="left" w:pos="426"/>
        </w:tabs>
        <w:ind w:left="142" w:firstLine="567"/>
        <w:jc w:val="both"/>
        <w:rPr>
          <w:bCs/>
        </w:rPr>
      </w:pP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Методика расследования посредничества во взяточничестве</w:t>
      </w: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Вопросы квалификации получения взятки и компаративистские аспекты</w:t>
      </w: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Проблемы регламентации ответственности и вопросы квалификации фальшивомонетничества</w:t>
      </w:r>
      <w:r>
        <w:t>.</w:t>
      </w: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Хулиганство, совершенное с применением оружия или предметов, используемых в качестве оружия: проблемы регламентации ответственности и вопросы квалификации</w:t>
      </w:r>
      <w:r>
        <w:t>.</w:t>
      </w: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Участие прокурора в стадии предварительного расследования: теоретические и практические аспекты</w:t>
      </w:r>
      <w:r>
        <w:t>.</w:t>
      </w: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Порядок, условия и проблемы исполнения уголовного наказания в виде обязательных работ</w:t>
      </w:r>
      <w:r>
        <w:t>.</w:t>
      </w: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Институт уголовного осуждения в уголовном законодательстве: особенности назначения и проблемы исполнения</w:t>
      </w:r>
      <w:r>
        <w:t>.</w:t>
      </w: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Проблемы регламентации ответственности и вопросы квалификации бандитизма</w:t>
      </w:r>
      <w:r>
        <w:t>.</w:t>
      </w: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Проблемы регламентации ответственности и вопросы квалификации грабежа</w:t>
      </w:r>
      <w:r>
        <w:t>.</w:t>
      </w: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Заключение под стражу несовершеннолетних подозреваемых и обвиняемых: теоретические и практические проблемы применения</w:t>
      </w:r>
      <w:r>
        <w:t>.</w:t>
      </w: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Методика расследования убийства</w:t>
      </w:r>
      <w:r>
        <w:t>.</w:t>
      </w: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Методика расследования изнасилования</w:t>
      </w:r>
      <w:r>
        <w:t>.</w:t>
      </w: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Процессуальный порядок осуществления допроса и способы разрешения ситуаций, возникающих на нем</w:t>
      </w:r>
      <w:r>
        <w:t>.</w:t>
      </w: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Методика расследования убийств, совершенных несовершеннолетними</w:t>
      </w:r>
      <w:r>
        <w:t>.</w:t>
      </w: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Задержание как мера принуждения в уголовном процессе Российской Федерации</w:t>
      </w: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Видео и звукозапись в системе научно-технических средств, используемых в уголовном процессе</w:t>
      </w:r>
      <w:r>
        <w:t>.</w:t>
      </w: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Методика расследования преступлений, связанных с уклонением от уплаты налогов</w:t>
      </w:r>
      <w:r>
        <w:t>.</w:t>
      </w:r>
    </w:p>
    <w:p w:rsidR="00983F22" w:rsidRPr="00983F22" w:rsidRDefault="00983F22" w:rsidP="00983F22">
      <w:pPr>
        <w:pStyle w:val="a9"/>
        <w:numPr>
          <w:ilvl w:val="0"/>
          <w:numId w:val="10"/>
        </w:numPr>
        <w:spacing w:after="200" w:line="276" w:lineRule="auto"/>
        <w:jc w:val="both"/>
      </w:pPr>
      <w:r w:rsidRPr="00983F22">
        <w:t>Приостановление и возобновление предварительного следствия</w:t>
      </w:r>
      <w:r>
        <w:t>.</w:t>
      </w:r>
    </w:p>
    <w:p w:rsidR="0070342D" w:rsidRPr="00983F22" w:rsidRDefault="0070342D" w:rsidP="00011879">
      <w:pPr>
        <w:pStyle w:val="a9"/>
        <w:tabs>
          <w:tab w:val="left" w:pos="426"/>
        </w:tabs>
        <w:ind w:left="142" w:firstLine="567"/>
        <w:jc w:val="both"/>
        <w:rPr>
          <w:bCs/>
        </w:rPr>
      </w:pPr>
    </w:p>
    <w:p w:rsidR="00983F22" w:rsidRDefault="00983F22" w:rsidP="0070342D">
      <w:pPr>
        <w:pStyle w:val="ad"/>
        <w:tabs>
          <w:tab w:val="left" w:pos="426"/>
        </w:tabs>
        <w:ind w:left="720"/>
        <w:jc w:val="center"/>
        <w:rPr>
          <w:b/>
        </w:rPr>
      </w:pPr>
    </w:p>
    <w:p w:rsidR="0070342D" w:rsidRPr="00983F22" w:rsidRDefault="0070342D" w:rsidP="0070342D">
      <w:pPr>
        <w:pStyle w:val="ad"/>
        <w:tabs>
          <w:tab w:val="left" w:pos="426"/>
        </w:tabs>
        <w:ind w:left="720"/>
        <w:jc w:val="center"/>
        <w:rPr>
          <w:b/>
        </w:rPr>
      </w:pPr>
      <w:r w:rsidRPr="00983F22">
        <w:rPr>
          <w:b/>
        </w:rPr>
        <w:t>Образовательная программа Государственно-правовая</w:t>
      </w:r>
    </w:p>
    <w:p w:rsidR="0070342D" w:rsidRPr="00983F22" w:rsidRDefault="0070342D" w:rsidP="00011879">
      <w:pPr>
        <w:pStyle w:val="a9"/>
        <w:tabs>
          <w:tab w:val="left" w:pos="426"/>
        </w:tabs>
        <w:ind w:left="142" w:firstLine="567"/>
        <w:jc w:val="both"/>
        <w:rPr>
          <w:bCs/>
        </w:rPr>
      </w:pPr>
    </w:p>
    <w:p w:rsidR="002C4935" w:rsidRPr="00983F22" w:rsidRDefault="002C4935" w:rsidP="00983F22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983F22">
        <w:lastRenderedPageBreak/>
        <w:t>Административно-правовое регулирование обязательного страхования автогражданской ответственности.</w:t>
      </w:r>
    </w:p>
    <w:p w:rsidR="002C4935" w:rsidRPr="00983F22" w:rsidRDefault="002C4935" w:rsidP="00983F22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983F22">
        <w:t>Административно-правовой механизм предупреждения мелкого хулиганства: понятие, юридический состав, проблемы и пути их решения.</w:t>
      </w:r>
    </w:p>
    <w:p w:rsidR="002C4935" w:rsidRPr="00983F22" w:rsidRDefault="002C4935" w:rsidP="00983F22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983F22">
        <w:t>Административно-правовой механизм противодействия незаконному обороту наркотиков.</w:t>
      </w:r>
    </w:p>
    <w:p w:rsidR="002C4935" w:rsidRPr="00983F22" w:rsidRDefault="002C4935" w:rsidP="00983F22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983F22">
        <w:t>Административно-правовой статус иностранных граждан и лиц без гражданства.</w:t>
      </w:r>
    </w:p>
    <w:p w:rsidR="002C4935" w:rsidRPr="00983F22" w:rsidRDefault="002C4935" w:rsidP="00983F22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983F22">
        <w:t>Антикоррупционная экспертиза нормативных правовых актов как превентивная мера борьбы с коррупцией в Российской Федерации: организационно-правовые и методические основы.</w:t>
      </w:r>
    </w:p>
    <w:p w:rsidR="002C4935" w:rsidRPr="00983F22" w:rsidRDefault="002C4935" w:rsidP="00983F22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983F22">
        <w:t>Виды национальной безопасности: общая характеристика, проблемы и перспективы правового регулирования</w:t>
      </w:r>
    </w:p>
    <w:p w:rsidR="002C4935" w:rsidRPr="00983F22" w:rsidRDefault="002C4935" w:rsidP="00983F22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983F22">
        <w:t xml:space="preserve">Виды общественной безопасности: общая характеристика, проблемы </w:t>
      </w:r>
      <w:proofErr w:type="spellStart"/>
      <w:r w:rsidRPr="00983F22">
        <w:t>иперспективы</w:t>
      </w:r>
      <w:proofErr w:type="spellEnd"/>
      <w:r w:rsidRPr="00983F22">
        <w:t xml:space="preserve"> правового регулирования</w:t>
      </w:r>
    </w:p>
    <w:p w:rsidR="002C4935" w:rsidRPr="00983F22" w:rsidRDefault="002C4935" w:rsidP="00983F22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983F22">
        <w:t>Возникновение права собственности Российской Федерации на земельные участки: проблемы и перспективы правового регулирования.</w:t>
      </w:r>
    </w:p>
    <w:p w:rsidR="002C4935" w:rsidRPr="00983F22" w:rsidRDefault="002C4935" w:rsidP="00983F22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983F22">
        <w:t>Выборы в законодательный (представительный) орган государственной власти субъекта Российской Федерации (на примере конкретного субъекта по согласованию с научным руководителем).</w:t>
      </w:r>
    </w:p>
    <w:p w:rsidR="002C4935" w:rsidRPr="00983F22" w:rsidRDefault="002C4935" w:rsidP="00983F22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983F22">
        <w:t>Государственная регистрация прав на земельные участки и сделок с ними как метод государственного управления и контроля в сфере земельных отношений.</w:t>
      </w:r>
    </w:p>
    <w:p w:rsidR="002C4935" w:rsidRPr="00983F22" w:rsidRDefault="002C4935" w:rsidP="00983F22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983F22">
        <w:t>Задачи и принципы производства по делам об административных правонарушениях: практический аспект.</w:t>
      </w:r>
    </w:p>
    <w:p w:rsidR="002C4935" w:rsidRPr="00983F22" w:rsidRDefault="002C4935" w:rsidP="00983F22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983F22">
        <w:t>Институт ответственности главы муниципального образования и главы местной администрации: проблемы и перспективы правового регулирования.</w:t>
      </w:r>
    </w:p>
    <w:p w:rsidR="002C4935" w:rsidRPr="00983F22" w:rsidRDefault="002C4935" w:rsidP="00983F22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983F22">
        <w:t>Институт ответственности представительного органа муниципального образования: проблемы и перспективы правового регулирования.</w:t>
      </w:r>
    </w:p>
    <w:p w:rsidR="002C4935" w:rsidRPr="00983F22" w:rsidRDefault="002C4935" w:rsidP="00983F22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983F22">
        <w:t xml:space="preserve">Институт платежей за социальные услуги («налог на тунеядство»): проблемы теории и практики </w:t>
      </w:r>
      <w:proofErr w:type="spellStart"/>
      <w:r w:rsidRPr="00983F22">
        <w:t>правоприменения</w:t>
      </w:r>
      <w:proofErr w:type="spellEnd"/>
      <w:r w:rsidRPr="00983F22">
        <w:t>.</w:t>
      </w:r>
    </w:p>
    <w:p w:rsidR="002C4935" w:rsidRPr="00983F22" w:rsidRDefault="002C4935" w:rsidP="00983F22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983F22">
        <w:t>Конституционное право граждан Российской Федерации на обращения в органы государственной власти и местного самоуправления: проблемы и перспективы правового регулирования.</w:t>
      </w:r>
    </w:p>
    <w:p w:rsidR="002C4935" w:rsidRPr="00983F22" w:rsidRDefault="002C4935" w:rsidP="00983F22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983F22">
        <w:t>Конституционно-правовое регулирование института двойного гражданства в Российской Федерации</w:t>
      </w:r>
      <w:r w:rsidR="004A0AE0">
        <w:t>.</w:t>
      </w:r>
    </w:p>
    <w:p w:rsidR="0070342D" w:rsidRDefault="0070342D" w:rsidP="00011879">
      <w:pPr>
        <w:pStyle w:val="a9"/>
        <w:tabs>
          <w:tab w:val="left" w:pos="426"/>
        </w:tabs>
        <w:ind w:left="142" w:firstLine="567"/>
        <w:jc w:val="both"/>
        <w:rPr>
          <w:bCs/>
        </w:rPr>
      </w:pPr>
    </w:p>
    <w:p w:rsidR="0070342D" w:rsidRDefault="0070342D" w:rsidP="00011879">
      <w:pPr>
        <w:pStyle w:val="a9"/>
        <w:tabs>
          <w:tab w:val="left" w:pos="426"/>
        </w:tabs>
        <w:ind w:left="142" w:firstLine="567"/>
        <w:jc w:val="both"/>
        <w:rPr>
          <w:bCs/>
        </w:rPr>
      </w:pPr>
    </w:p>
    <w:p w:rsidR="0070342D" w:rsidRDefault="0070342D" w:rsidP="0070342D">
      <w:pPr>
        <w:pStyle w:val="ad"/>
        <w:tabs>
          <w:tab w:val="left" w:pos="426"/>
        </w:tabs>
        <w:ind w:left="720"/>
        <w:jc w:val="center"/>
        <w:rPr>
          <w:b/>
        </w:rPr>
      </w:pPr>
      <w:r w:rsidRPr="0070342D">
        <w:rPr>
          <w:b/>
        </w:rPr>
        <w:t>Образовательная программа Гражданско-правовая</w:t>
      </w:r>
    </w:p>
    <w:p w:rsidR="0070342D" w:rsidRDefault="0070342D" w:rsidP="00011879">
      <w:pPr>
        <w:pStyle w:val="a9"/>
        <w:tabs>
          <w:tab w:val="left" w:pos="426"/>
        </w:tabs>
        <w:ind w:left="142" w:firstLine="567"/>
        <w:jc w:val="both"/>
        <w:rPr>
          <w:bCs/>
        </w:rPr>
      </w:pPr>
    </w:p>
    <w:p w:rsidR="005F1166" w:rsidRDefault="005F1166" w:rsidP="005F1166">
      <w:pPr>
        <w:pStyle w:val="a9"/>
        <w:numPr>
          <w:ilvl w:val="0"/>
          <w:numId w:val="11"/>
        </w:numPr>
        <w:adjustRightInd w:val="0"/>
        <w:spacing w:line="276" w:lineRule="auto"/>
        <w:contextualSpacing w:val="0"/>
        <w:jc w:val="both"/>
      </w:pPr>
      <w:r>
        <w:t>Ответственность юридического лица или гражданина (предпринимателя) за вред, причинённый его работником.</w:t>
      </w:r>
    </w:p>
    <w:p w:rsidR="005F1166" w:rsidRDefault="005F1166" w:rsidP="005F1166">
      <w:pPr>
        <w:pStyle w:val="a9"/>
        <w:numPr>
          <w:ilvl w:val="0"/>
          <w:numId w:val="11"/>
        </w:numPr>
        <w:adjustRightInd w:val="0"/>
        <w:spacing w:line="276" w:lineRule="auto"/>
        <w:contextualSpacing w:val="0"/>
        <w:jc w:val="both"/>
      </w:pPr>
      <w:r>
        <w:t>Институт трансграничной несостоятельности: особенности и перспективы развития в Российской Федерации.</w:t>
      </w:r>
    </w:p>
    <w:p w:rsidR="005F1166" w:rsidRDefault="005F1166" w:rsidP="005F1166">
      <w:pPr>
        <w:pStyle w:val="a9"/>
        <w:numPr>
          <w:ilvl w:val="0"/>
          <w:numId w:val="11"/>
        </w:numPr>
        <w:adjustRightInd w:val="0"/>
        <w:spacing w:line="276" w:lineRule="auto"/>
        <w:contextualSpacing w:val="0"/>
        <w:jc w:val="both"/>
      </w:pPr>
      <w:r>
        <w:t>Реорганизация юридических лиц.</w:t>
      </w:r>
    </w:p>
    <w:p w:rsidR="005F1166" w:rsidRDefault="005F1166" w:rsidP="005F1166">
      <w:pPr>
        <w:pStyle w:val="a9"/>
        <w:numPr>
          <w:ilvl w:val="0"/>
          <w:numId w:val="11"/>
        </w:numPr>
        <w:adjustRightInd w:val="0"/>
        <w:spacing w:line="276" w:lineRule="auto"/>
        <w:contextualSpacing w:val="0"/>
        <w:jc w:val="both"/>
      </w:pPr>
      <w:r>
        <w:t>Особенности гражданско-правовой охраны и защиты нематериальных благ.</w:t>
      </w:r>
    </w:p>
    <w:p w:rsidR="005F1166" w:rsidRDefault="005F1166" w:rsidP="005F1166">
      <w:pPr>
        <w:pStyle w:val="a9"/>
        <w:numPr>
          <w:ilvl w:val="0"/>
          <w:numId w:val="11"/>
        </w:numPr>
        <w:adjustRightInd w:val="0"/>
        <w:spacing w:line="276" w:lineRule="auto"/>
        <w:contextualSpacing w:val="0"/>
        <w:jc w:val="both"/>
      </w:pPr>
      <w:r>
        <w:t>Особенности назначения и использования в гражданском процессе отдельных видов экспертиз.</w:t>
      </w:r>
    </w:p>
    <w:p w:rsidR="005F1166" w:rsidRDefault="005F1166" w:rsidP="005F1166">
      <w:pPr>
        <w:pStyle w:val="a9"/>
        <w:numPr>
          <w:ilvl w:val="0"/>
          <w:numId w:val="11"/>
        </w:numPr>
        <w:adjustRightInd w:val="0"/>
        <w:spacing w:line="276" w:lineRule="auto"/>
        <w:contextualSpacing w:val="0"/>
        <w:jc w:val="both"/>
      </w:pPr>
      <w:r>
        <w:lastRenderedPageBreak/>
        <w:t>Сравнительный а</w:t>
      </w:r>
      <w:bookmarkStart w:id="0" w:name="_GoBack"/>
      <w:bookmarkEnd w:id="0"/>
      <w:r>
        <w:t>нализ гражданско-правового регулирования обязательств из договора страхования и из причинения вреда.</w:t>
      </w:r>
    </w:p>
    <w:p w:rsidR="005F1166" w:rsidRDefault="005F1166" w:rsidP="005F1166">
      <w:pPr>
        <w:pStyle w:val="a9"/>
        <w:numPr>
          <w:ilvl w:val="0"/>
          <w:numId w:val="11"/>
        </w:numPr>
        <w:adjustRightInd w:val="0"/>
        <w:spacing w:line="276" w:lineRule="auto"/>
        <w:contextualSpacing w:val="0"/>
        <w:jc w:val="both"/>
      </w:pPr>
      <w:r>
        <w:t>Актуальные вопросы правового регулирования наследования по завещанию в Российской Федерации.</w:t>
      </w:r>
    </w:p>
    <w:p w:rsidR="005F1166" w:rsidRDefault="005F1166" w:rsidP="005F1166">
      <w:pPr>
        <w:pStyle w:val="a9"/>
        <w:numPr>
          <w:ilvl w:val="0"/>
          <w:numId w:val="11"/>
        </w:numPr>
        <w:adjustRightInd w:val="0"/>
        <w:spacing w:line="276" w:lineRule="auto"/>
        <w:contextualSpacing w:val="0"/>
        <w:jc w:val="both"/>
      </w:pPr>
      <w:r>
        <w:t>Гражданско-правовое регулирование наследственного фонда в Российской Федерации.</w:t>
      </w:r>
    </w:p>
    <w:p w:rsidR="005F1166" w:rsidRDefault="005F1166" w:rsidP="005F1166">
      <w:pPr>
        <w:pStyle w:val="a9"/>
        <w:numPr>
          <w:ilvl w:val="0"/>
          <w:numId w:val="11"/>
        </w:numPr>
        <w:adjustRightInd w:val="0"/>
        <w:spacing w:line="276" w:lineRule="auto"/>
        <w:contextualSpacing w:val="0"/>
        <w:jc w:val="both"/>
      </w:pPr>
      <w:r>
        <w:t>Несостоятельность (банкротство) физических лиц.</w:t>
      </w:r>
    </w:p>
    <w:p w:rsidR="005F1166" w:rsidRDefault="005F1166" w:rsidP="005F1166">
      <w:pPr>
        <w:pStyle w:val="a9"/>
        <w:numPr>
          <w:ilvl w:val="0"/>
          <w:numId w:val="11"/>
        </w:numPr>
        <w:adjustRightInd w:val="0"/>
        <w:spacing w:line="276" w:lineRule="auto"/>
        <w:contextualSpacing w:val="0"/>
        <w:jc w:val="both"/>
      </w:pPr>
      <w:r>
        <w:t>Правовое регулирование общей совместной собственности супругов.</w:t>
      </w:r>
    </w:p>
    <w:p w:rsidR="005F1166" w:rsidRDefault="005F1166" w:rsidP="005F1166">
      <w:pPr>
        <w:pStyle w:val="a9"/>
        <w:numPr>
          <w:ilvl w:val="0"/>
          <w:numId w:val="11"/>
        </w:numPr>
        <w:adjustRightInd w:val="0"/>
        <w:spacing w:line="276" w:lineRule="auto"/>
        <w:contextualSpacing w:val="0"/>
        <w:jc w:val="both"/>
      </w:pPr>
      <w:r>
        <w:t>Ответственность за вред, причиненный несовершеннолетними и гражданами, признанными недееспособными.</w:t>
      </w:r>
    </w:p>
    <w:p w:rsidR="005F1166" w:rsidRDefault="005F1166" w:rsidP="005F1166">
      <w:pPr>
        <w:pStyle w:val="a9"/>
        <w:numPr>
          <w:ilvl w:val="0"/>
          <w:numId w:val="11"/>
        </w:numPr>
        <w:adjustRightInd w:val="0"/>
        <w:spacing w:line="276" w:lineRule="auto"/>
        <w:contextualSpacing w:val="0"/>
        <w:jc w:val="both"/>
      </w:pPr>
      <w:r>
        <w:t>. Правовое регулирование договора участия в долевом строительстве.</w:t>
      </w:r>
    </w:p>
    <w:p w:rsidR="005F1166" w:rsidRDefault="005F1166" w:rsidP="005F1166">
      <w:pPr>
        <w:pStyle w:val="a9"/>
        <w:numPr>
          <w:ilvl w:val="0"/>
          <w:numId w:val="11"/>
        </w:numPr>
        <w:adjustRightInd w:val="0"/>
        <w:spacing w:line="276" w:lineRule="auto"/>
        <w:contextualSpacing w:val="0"/>
        <w:jc w:val="both"/>
      </w:pPr>
      <w:r>
        <w:t>Гражданско-правовая защита авторских и смежных прав.</w:t>
      </w:r>
    </w:p>
    <w:p w:rsidR="005F1166" w:rsidRDefault="005F1166" w:rsidP="005F1166">
      <w:pPr>
        <w:pStyle w:val="a9"/>
        <w:numPr>
          <w:ilvl w:val="0"/>
          <w:numId w:val="11"/>
        </w:numPr>
        <w:adjustRightInd w:val="0"/>
        <w:spacing w:line="276" w:lineRule="auto"/>
        <w:contextualSpacing w:val="0"/>
        <w:jc w:val="both"/>
      </w:pPr>
      <w:r>
        <w:t>Правовое регулирование усыновления в Российской Федерации.</w:t>
      </w:r>
    </w:p>
    <w:p w:rsidR="005F1166" w:rsidRDefault="005F1166" w:rsidP="005F1166">
      <w:pPr>
        <w:pStyle w:val="a9"/>
        <w:numPr>
          <w:ilvl w:val="0"/>
          <w:numId w:val="11"/>
        </w:numPr>
        <w:adjustRightInd w:val="0"/>
        <w:spacing w:line="276" w:lineRule="auto"/>
        <w:contextualSpacing w:val="0"/>
        <w:jc w:val="both"/>
      </w:pPr>
      <w:r>
        <w:t>Гражданско-правовое регулирование договора теплоснабжения в Российской Федерации.</w:t>
      </w:r>
    </w:p>
    <w:p w:rsidR="005F1166" w:rsidRDefault="005F1166" w:rsidP="005F1166">
      <w:pPr>
        <w:pStyle w:val="a9"/>
        <w:numPr>
          <w:ilvl w:val="0"/>
          <w:numId w:val="11"/>
        </w:numPr>
        <w:adjustRightInd w:val="0"/>
        <w:spacing w:line="276" w:lineRule="auto"/>
        <w:contextualSpacing w:val="0"/>
        <w:jc w:val="both"/>
      </w:pPr>
      <w:r>
        <w:t>Злоупотребление гражданским правом: понятие и способы защиты.</w:t>
      </w:r>
    </w:p>
    <w:p w:rsidR="00282F2D" w:rsidRPr="00282F2D" w:rsidRDefault="00282F2D" w:rsidP="00282F2D">
      <w:pPr>
        <w:pStyle w:val="31"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6601" w:rsidRDefault="005D6601">
      <w:pPr>
        <w:spacing w:after="200" w:line="276" w:lineRule="auto"/>
        <w:rPr>
          <w:sz w:val="16"/>
          <w:szCs w:val="16"/>
        </w:rPr>
      </w:pPr>
    </w:p>
    <w:sectPr w:rsidR="005D6601" w:rsidSect="00983F2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34C"/>
    <w:multiLevelType w:val="hybridMultilevel"/>
    <w:tmpl w:val="3E444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071F"/>
    <w:multiLevelType w:val="hybridMultilevel"/>
    <w:tmpl w:val="BC660FF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94C16"/>
    <w:multiLevelType w:val="hybridMultilevel"/>
    <w:tmpl w:val="39D4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C7DB8"/>
    <w:multiLevelType w:val="hybridMultilevel"/>
    <w:tmpl w:val="B88E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D271F"/>
    <w:multiLevelType w:val="hybridMultilevel"/>
    <w:tmpl w:val="1F426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11783"/>
    <w:multiLevelType w:val="hybridMultilevel"/>
    <w:tmpl w:val="6C6623F6"/>
    <w:lvl w:ilvl="0" w:tplc="1EA4E44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7F06AA"/>
    <w:multiLevelType w:val="hybridMultilevel"/>
    <w:tmpl w:val="985A3468"/>
    <w:lvl w:ilvl="0" w:tplc="1EA4E44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A031C87"/>
    <w:multiLevelType w:val="hybridMultilevel"/>
    <w:tmpl w:val="FBF8F27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03E82"/>
    <w:multiLevelType w:val="hybridMultilevel"/>
    <w:tmpl w:val="6E78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2665F"/>
    <w:multiLevelType w:val="hybridMultilevel"/>
    <w:tmpl w:val="1F426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F5AD8"/>
    <w:multiLevelType w:val="hybridMultilevel"/>
    <w:tmpl w:val="ACA8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C034C"/>
    <w:rsid w:val="00011879"/>
    <w:rsid w:val="00156017"/>
    <w:rsid w:val="00173A57"/>
    <w:rsid w:val="001D375F"/>
    <w:rsid w:val="001D6182"/>
    <w:rsid w:val="00282F2D"/>
    <w:rsid w:val="002B2369"/>
    <w:rsid w:val="002C4935"/>
    <w:rsid w:val="002E72C3"/>
    <w:rsid w:val="00345022"/>
    <w:rsid w:val="00355106"/>
    <w:rsid w:val="00381099"/>
    <w:rsid w:val="003D1A87"/>
    <w:rsid w:val="004A0AE0"/>
    <w:rsid w:val="004B6803"/>
    <w:rsid w:val="00536B4E"/>
    <w:rsid w:val="00566EF2"/>
    <w:rsid w:val="005D6601"/>
    <w:rsid w:val="005F1166"/>
    <w:rsid w:val="0070342D"/>
    <w:rsid w:val="00707EB1"/>
    <w:rsid w:val="0075763D"/>
    <w:rsid w:val="007C034C"/>
    <w:rsid w:val="007D02F0"/>
    <w:rsid w:val="008927CF"/>
    <w:rsid w:val="008B7D6C"/>
    <w:rsid w:val="00923ADA"/>
    <w:rsid w:val="0098148A"/>
    <w:rsid w:val="00983F22"/>
    <w:rsid w:val="00A42F9F"/>
    <w:rsid w:val="00A665AA"/>
    <w:rsid w:val="00A82C97"/>
    <w:rsid w:val="00B02E33"/>
    <w:rsid w:val="00B62C99"/>
    <w:rsid w:val="00B85D91"/>
    <w:rsid w:val="00CC25DC"/>
    <w:rsid w:val="00CD5D9D"/>
    <w:rsid w:val="00D80ACA"/>
    <w:rsid w:val="00DC359C"/>
    <w:rsid w:val="00E66ECB"/>
    <w:rsid w:val="00E92ED5"/>
    <w:rsid w:val="00FF03DA"/>
    <w:rsid w:val="00FF4ACE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C034C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C034C"/>
    <w:pPr>
      <w:keepNext/>
      <w:jc w:val="both"/>
      <w:outlineLvl w:val="3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03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C034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ody Text Indent"/>
    <w:basedOn w:val="a"/>
    <w:link w:val="a4"/>
    <w:rsid w:val="007C034C"/>
    <w:pPr>
      <w:widowControl w:val="0"/>
      <w:autoSpaceDE w:val="0"/>
      <w:autoSpaceDN w:val="0"/>
      <w:adjustRightInd w:val="0"/>
      <w:spacing w:line="276" w:lineRule="auto"/>
      <w:ind w:firstLine="83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7C034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3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34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C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C03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link w:val="aa"/>
    <w:uiPriority w:val="34"/>
    <w:qFormat/>
    <w:rsid w:val="002B2369"/>
    <w:pPr>
      <w:ind w:left="720"/>
      <w:contextualSpacing/>
    </w:pPr>
  </w:style>
  <w:style w:type="paragraph" w:styleId="ab">
    <w:name w:val="header"/>
    <w:basedOn w:val="a"/>
    <w:link w:val="ac"/>
    <w:rsid w:val="00156017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basedOn w:val="a0"/>
    <w:link w:val="ab"/>
    <w:rsid w:val="0015601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31">
    <w:name w:val="Абзац списка3"/>
    <w:basedOn w:val="a"/>
    <w:rsid w:val="00282F2D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styleId="ad">
    <w:name w:val="No Spacing"/>
    <w:uiPriority w:val="1"/>
    <w:qFormat/>
    <w:rsid w:val="0001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5F11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arhipovat</dc:creator>
  <cp:lastModifiedBy>KaushnikovaU</cp:lastModifiedBy>
  <cp:revision>24</cp:revision>
  <cp:lastPrinted>2018-10-11T13:47:00Z</cp:lastPrinted>
  <dcterms:created xsi:type="dcterms:W3CDTF">2018-10-11T13:47:00Z</dcterms:created>
  <dcterms:modified xsi:type="dcterms:W3CDTF">2025-05-27T13:09:00Z</dcterms:modified>
</cp:coreProperties>
</file>